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09" w:rsidRDefault="00421709">
      <w:pPr>
        <w:pStyle w:val="BodyText"/>
        <w:rPr>
          <w:rFonts w:ascii="Times New Roman"/>
        </w:rPr>
      </w:pPr>
    </w:p>
    <w:p w:rsidR="00421709" w:rsidRDefault="00421709">
      <w:pPr>
        <w:pStyle w:val="BodyText"/>
        <w:rPr>
          <w:rFonts w:ascii="Times New Roman"/>
        </w:rPr>
      </w:pPr>
    </w:p>
    <w:p w:rsidR="00421709" w:rsidRDefault="00421709">
      <w:pPr>
        <w:pStyle w:val="BodyText"/>
        <w:spacing w:before="8"/>
        <w:rPr>
          <w:rFonts w:ascii="Times New Roman"/>
          <w:sz w:val="17"/>
        </w:rPr>
      </w:pPr>
    </w:p>
    <w:p w:rsidR="00B61A91" w:rsidRDefault="00B61A91" w:rsidP="009303D8">
      <w:pPr>
        <w:pStyle w:val="BodyText"/>
        <w:spacing w:line="259" w:lineRule="auto"/>
        <w:ind w:left="200" w:right="-190"/>
      </w:pPr>
      <w:r>
        <w:t>The Company Secretary United Brands Limited,</w:t>
      </w:r>
      <w:r>
        <w:t xml:space="preserve"> </w:t>
      </w:r>
    </w:p>
    <w:p w:rsidR="00421709" w:rsidRDefault="009303D8" w:rsidP="009303D8">
      <w:pPr>
        <w:pStyle w:val="BodyText"/>
        <w:spacing w:line="259" w:lineRule="auto"/>
        <w:ind w:left="200" w:right="-190"/>
      </w:pPr>
      <w:r>
        <w:t>1</w:t>
      </w:r>
      <w:r>
        <w:rPr>
          <w:vertAlign w:val="superscript"/>
        </w:rPr>
        <w:t>st</w:t>
      </w:r>
      <w:r w:rsidR="00B61A91">
        <w:t xml:space="preserve"> Floor, </w:t>
      </w:r>
      <w:r>
        <w:t>One IBL Center</w:t>
      </w:r>
      <w:r w:rsidR="00B61A91">
        <w:t xml:space="preserve">, </w:t>
      </w:r>
      <w:r>
        <w:t xml:space="preserve">Block No. 7 &amp; 8, DMMCHS, Shahrah-e- </w:t>
      </w:r>
      <w:bookmarkStart w:id="0" w:name="_GoBack"/>
      <w:bookmarkEnd w:id="0"/>
      <w:r>
        <w:t xml:space="preserve">Faisal, </w:t>
      </w:r>
      <w:r w:rsidR="00B61A91">
        <w:t>Karachi</w:t>
      </w:r>
    </w:p>
    <w:p w:rsidR="00421709" w:rsidRDefault="00B61A91">
      <w:pPr>
        <w:spacing w:before="74"/>
        <w:ind w:left="180" w:right="2816"/>
        <w:jc w:val="center"/>
        <w:rPr>
          <w:rFonts w:ascii="Times New Roman"/>
          <w:b/>
          <w:sz w:val="26"/>
        </w:rPr>
      </w:pPr>
      <w:r>
        <w:br w:type="column"/>
      </w:r>
      <w:r>
        <w:rPr>
          <w:rFonts w:ascii="Times New Roman"/>
          <w:b/>
          <w:sz w:val="26"/>
        </w:rPr>
        <w:lastRenderedPageBreak/>
        <w:t>Standard Request Form</w:t>
      </w:r>
    </w:p>
    <w:p w:rsidR="00421709" w:rsidRDefault="00B61A91">
      <w:pPr>
        <w:spacing w:before="20"/>
        <w:ind w:left="180" w:right="2822"/>
        <w:jc w:val="center"/>
        <w:rPr>
          <w:b/>
          <w:sz w:val="24"/>
        </w:rPr>
      </w:pPr>
      <w:r>
        <w:rPr>
          <w:b/>
          <w:sz w:val="24"/>
        </w:rPr>
        <w:t>Circulation of Annual Audited Accounts</w:t>
      </w:r>
    </w:p>
    <w:p w:rsidR="00421709" w:rsidRDefault="00421709">
      <w:pPr>
        <w:jc w:val="center"/>
        <w:rPr>
          <w:sz w:val="24"/>
        </w:rPr>
        <w:sectPr w:rsidR="00421709" w:rsidSect="009303D8">
          <w:type w:val="continuous"/>
          <w:pgSz w:w="12240" w:h="15840"/>
          <w:pgMar w:top="660" w:right="1320" w:bottom="280" w:left="1240" w:header="720" w:footer="720" w:gutter="0"/>
          <w:cols w:num="2" w:space="436" w:equalWidth="0">
            <w:col w:w="2362" w:space="360"/>
            <w:col w:w="6958"/>
          </w:cols>
        </w:sectPr>
      </w:pPr>
    </w:p>
    <w:p w:rsidR="00421709" w:rsidRDefault="00421709">
      <w:pPr>
        <w:pStyle w:val="BodyText"/>
        <w:spacing w:before="9"/>
        <w:rPr>
          <w:b/>
          <w:sz w:val="18"/>
        </w:rPr>
      </w:pPr>
    </w:p>
    <w:p w:rsidR="00421709" w:rsidRDefault="00B61A91">
      <w:pPr>
        <w:pStyle w:val="Heading1"/>
        <w:spacing w:before="57"/>
        <w:jc w:val="left"/>
        <w:rPr>
          <w:u w:val="none"/>
        </w:rPr>
      </w:pPr>
      <w:r>
        <w:rPr>
          <w:b w:val="0"/>
          <w:u w:val="none"/>
        </w:rPr>
        <w:t xml:space="preserve">Subject: </w:t>
      </w:r>
      <w:r>
        <w:t>Circulation of Annual Audited Accounts via Email/CD/USB/DVD or Any Other Media</w:t>
      </w:r>
    </w:p>
    <w:p w:rsidR="00421709" w:rsidRDefault="00421709">
      <w:pPr>
        <w:pStyle w:val="BodyText"/>
        <w:spacing w:before="11"/>
        <w:rPr>
          <w:b/>
          <w:sz w:val="20"/>
        </w:rPr>
      </w:pPr>
    </w:p>
    <w:p w:rsidR="00421709" w:rsidRDefault="00B61A91">
      <w:pPr>
        <w:pStyle w:val="BodyText"/>
        <w:spacing w:before="57" w:line="259" w:lineRule="auto"/>
        <w:ind w:left="200" w:right="109"/>
        <w:jc w:val="both"/>
      </w:pPr>
      <w:r>
        <w:t>Pursuant to the directions given by the Securities and Exchange Commission of Pakistan through its SRO 787(1)/2014 dated September 8, 2014 and SRO 470(1)/2016 dated May 31, 201</w:t>
      </w:r>
      <w:r>
        <w:t>6 that have allowed the companies to circulate its Annual Audited Accounts (i.e. Annual Balance Sheet and Profit and Loss Accounts, Statements of Comprehensive Income, Cash Flow Statement, Notes to the Financial Statements, Auditor’s and Director’s Report)</w:t>
      </w:r>
      <w:r>
        <w:t xml:space="preserve"> to its members through Email/CD/DVD/USB/ or any other Electronic Media at their registered Addresses.</w:t>
      </w:r>
    </w:p>
    <w:p w:rsidR="00421709" w:rsidRDefault="00421709">
      <w:pPr>
        <w:pStyle w:val="BodyText"/>
        <w:spacing w:before="7"/>
        <w:rPr>
          <w:sz w:val="23"/>
        </w:rPr>
      </w:pPr>
    </w:p>
    <w:p w:rsidR="00421709" w:rsidRDefault="00B61A91">
      <w:pPr>
        <w:pStyle w:val="BodyText"/>
        <w:spacing w:line="259" w:lineRule="auto"/>
        <w:ind w:left="200" w:right="118"/>
        <w:jc w:val="both"/>
      </w:pPr>
      <w:r>
        <w:t>Shareholders who wish to receive the hard copy of Financial Statements shall have to fill the below form and send us to Company address.</w:t>
      </w:r>
    </w:p>
    <w:p w:rsidR="00421709" w:rsidRDefault="00421709">
      <w:pPr>
        <w:pStyle w:val="BodyText"/>
        <w:spacing w:before="8"/>
        <w:rPr>
          <w:sz w:val="23"/>
        </w:rPr>
      </w:pPr>
    </w:p>
    <w:p w:rsidR="00421709" w:rsidRDefault="00B61A91">
      <w:pPr>
        <w:pStyle w:val="BodyText"/>
        <w:spacing w:line="259" w:lineRule="auto"/>
        <w:ind w:left="200" w:right="107"/>
        <w:jc w:val="both"/>
      </w:pPr>
      <w:r>
        <w:t>I/We hereby co</w:t>
      </w:r>
      <w:r>
        <w:t>nsent Option 1 or Option 2 to the above said SROs for Audited Financial Statements and Notice of General Meeting(s) delivered to me hard form instead Email/CD/DVD/USB or any others Electronic Media.</w:t>
      </w:r>
    </w:p>
    <w:p w:rsidR="00421709" w:rsidRDefault="00421709">
      <w:pPr>
        <w:pStyle w:val="BodyText"/>
        <w:spacing w:before="5"/>
        <w:rPr>
          <w:sz w:val="23"/>
        </w:rPr>
      </w:pPr>
    </w:p>
    <w:p w:rsidR="00421709" w:rsidRDefault="00B61A91">
      <w:pPr>
        <w:pStyle w:val="Heading1"/>
        <w:rPr>
          <w:u w:val="none"/>
        </w:rPr>
      </w:pPr>
      <w:r>
        <w:rPr>
          <w:rFonts w:ascii="Webdings" w:hAnsi="Webdings"/>
          <w:sz w:val="32"/>
          <w:u w:val="none"/>
        </w:rPr>
        <w:t></w:t>
      </w:r>
      <w:r>
        <w:rPr>
          <w:rFonts w:ascii="Times New Roman" w:hAnsi="Times New Roman"/>
          <w:sz w:val="32"/>
          <w:u w:val="none"/>
        </w:rPr>
        <w:t xml:space="preserve"> </w:t>
      </w:r>
      <w:r>
        <w:t>Option 1 – Via Email</w:t>
      </w:r>
    </w:p>
    <w:p w:rsidR="00421709" w:rsidRDefault="00421709">
      <w:pPr>
        <w:pStyle w:val="BodyText"/>
        <w:spacing w:before="2"/>
        <w:rPr>
          <w:b/>
          <w:sz w:val="7"/>
        </w:rPr>
      </w:pPr>
    </w:p>
    <w:tbl>
      <w:tblPr>
        <w:tblW w:w="9663" w:type="dxa"/>
        <w:tblInd w:w="118" w:type="dxa"/>
        <w:tblLayout w:type="fixed"/>
        <w:tblCellMar>
          <w:left w:w="0" w:type="dxa"/>
          <w:right w:w="0" w:type="dxa"/>
        </w:tblCellMar>
        <w:tblLook w:val="01E0" w:firstRow="1" w:lastRow="1" w:firstColumn="1" w:lastColumn="1" w:noHBand="0" w:noVBand="0"/>
      </w:tblPr>
      <w:tblGrid>
        <w:gridCol w:w="4727"/>
        <w:gridCol w:w="4936"/>
      </w:tblGrid>
      <w:tr w:rsidR="00421709" w:rsidTr="009303D8">
        <w:trPr>
          <w:trHeight w:val="286"/>
        </w:trPr>
        <w:tc>
          <w:tcPr>
            <w:tcW w:w="4727" w:type="dxa"/>
          </w:tcPr>
          <w:p w:rsidR="00421709" w:rsidRDefault="00B61A91">
            <w:pPr>
              <w:pStyle w:val="TableParagraph"/>
              <w:spacing w:line="225" w:lineRule="exact"/>
            </w:pPr>
            <w:r>
              <w:t>Name of the Members/ Shareholders</w:t>
            </w:r>
          </w:p>
        </w:tc>
        <w:tc>
          <w:tcPr>
            <w:tcW w:w="4936" w:type="dxa"/>
          </w:tcPr>
          <w:p w:rsidR="00421709" w:rsidRDefault="00B61A91" w:rsidP="009303D8">
            <w:pPr>
              <w:pStyle w:val="TableParagraph"/>
              <w:tabs>
                <w:tab w:val="left" w:pos="4690"/>
              </w:tabs>
              <w:spacing w:line="225" w:lineRule="exact"/>
              <w:ind w:left="0" w:right="-4436"/>
            </w:pPr>
            <w:r>
              <w:t>:</w:t>
            </w:r>
            <w:r>
              <w:rPr>
                <w:spacing w:val="1"/>
              </w:rPr>
              <w:t xml:space="preserve"> </w:t>
            </w:r>
            <w:r>
              <w:rPr>
                <w:u w:val="single"/>
              </w:rPr>
              <w:t xml:space="preserve"> </w:t>
            </w:r>
            <w:r>
              <w:rPr>
                <w:u w:val="single"/>
              </w:rPr>
              <w:tab/>
            </w:r>
          </w:p>
        </w:tc>
      </w:tr>
      <w:tr w:rsidR="00421709" w:rsidTr="009303D8">
        <w:trPr>
          <w:trHeight w:val="355"/>
        </w:trPr>
        <w:tc>
          <w:tcPr>
            <w:tcW w:w="4727" w:type="dxa"/>
          </w:tcPr>
          <w:p w:rsidR="00421709" w:rsidRDefault="00B61A91">
            <w:pPr>
              <w:pStyle w:val="TableParagraph"/>
              <w:spacing w:before="22"/>
            </w:pPr>
            <w:r>
              <w:t>CNIC /SNIC #</w:t>
            </w:r>
          </w:p>
        </w:tc>
        <w:tc>
          <w:tcPr>
            <w:tcW w:w="4936" w:type="dxa"/>
          </w:tcPr>
          <w:p w:rsidR="00421709" w:rsidRDefault="00B61A91" w:rsidP="009303D8">
            <w:pPr>
              <w:pStyle w:val="TableParagraph"/>
              <w:tabs>
                <w:tab w:val="left" w:pos="4695"/>
              </w:tabs>
              <w:spacing w:before="22"/>
              <w:ind w:left="0" w:right="-4450"/>
            </w:pPr>
            <w:r>
              <w:t>:</w:t>
            </w:r>
            <w:r>
              <w:rPr>
                <w:spacing w:val="1"/>
              </w:rPr>
              <w:t xml:space="preserve"> </w:t>
            </w:r>
            <w:r>
              <w:rPr>
                <w:u w:val="single"/>
              </w:rPr>
              <w:t xml:space="preserve"> </w:t>
            </w:r>
            <w:r>
              <w:rPr>
                <w:u w:val="single"/>
              </w:rPr>
              <w:tab/>
            </w:r>
          </w:p>
        </w:tc>
      </w:tr>
      <w:tr w:rsidR="00421709" w:rsidTr="009303D8">
        <w:trPr>
          <w:trHeight w:val="349"/>
        </w:trPr>
        <w:tc>
          <w:tcPr>
            <w:tcW w:w="4727" w:type="dxa"/>
          </w:tcPr>
          <w:p w:rsidR="00421709" w:rsidRDefault="00B61A91">
            <w:pPr>
              <w:pStyle w:val="TableParagraph"/>
              <w:spacing w:before="24"/>
            </w:pPr>
            <w:r>
              <w:t>Folio / CDC Account Number</w:t>
            </w:r>
          </w:p>
        </w:tc>
        <w:tc>
          <w:tcPr>
            <w:tcW w:w="4936" w:type="dxa"/>
          </w:tcPr>
          <w:p w:rsidR="00421709" w:rsidRDefault="00B61A91" w:rsidP="009303D8">
            <w:pPr>
              <w:pStyle w:val="TableParagraph"/>
              <w:tabs>
                <w:tab w:val="left" w:pos="4695"/>
              </w:tabs>
              <w:spacing w:before="24"/>
              <w:ind w:left="0" w:right="-4450"/>
            </w:pPr>
            <w:r>
              <w:t>:</w:t>
            </w:r>
            <w:r>
              <w:rPr>
                <w:spacing w:val="1"/>
              </w:rPr>
              <w:t xml:space="preserve"> </w:t>
            </w:r>
            <w:r>
              <w:rPr>
                <w:u w:val="single"/>
              </w:rPr>
              <w:t xml:space="preserve"> </w:t>
            </w:r>
            <w:r>
              <w:rPr>
                <w:u w:val="single"/>
              </w:rPr>
              <w:tab/>
            </w:r>
          </w:p>
        </w:tc>
      </w:tr>
      <w:tr w:rsidR="00421709" w:rsidTr="009303D8">
        <w:trPr>
          <w:trHeight w:val="724"/>
        </w:trPr>
        <w:tc>
          <w:tcPr>
            <w:tcW w:w="4727" w:type="dxa"/>
          </w:tcPr>
          <w:p w:rsidR="00421709" w:rsidRDefault="00B61A91">
            <w:pPr>
              <w:pStyle w:val="TableParagraph"/>
              <w:spacing w:before="16"/>
              <w:rPr>
                <w:b/>
              </w:rPr>
            </w:pPr>
            <w:r>
              <w:rPr>
                <w:b/>
              </w:rPr>
              <w:t>Valid Email Address</w:t>
            </w:r>
          </w:p>
          <w:p w:rsidR="00421709" w:rsidRDefault="00B61A91">
            <w:pPr>
              <w:pStyle w:val="TableParagraph"/>
              <w:spacing w:before="2" w:line="218" w:lineRule="exact"/>
              <w:ind w:right="48"/>
              <w:rPr>
                <w:i/>
                <w:sz w:val="18"/>
              </w:rPr>
            </w:pPr>
            <w:r>
              <w:rPr>
                <w:i/>
                <w:sz w:val="18"/>
              </w:rPr>
              <w:t>(to receive Financial Statements along with Notice of General Meeting(s) instead of hard copy, CD/DVD/USB.)</w:t>
            </w:r>
          </w:p>
        </w:tc>
        <w:tc>
          <w:tcPr>
            <w:tcW w:w="4936" w:type="dxa"/>
          </w:tcPr>
          <w:p w:rsidR="00421709" w:rsidRDefault="00B61A91" w:rsidP="009303D8">
            <w:pPr>
              <w:pStyle w:val="TableParagraph"/>
              <w:tabs>
                <w:tab w:val="left" w:pos="4695"/>
              </w:tabs>
              <w:spacing w:before="16"/>
              <w:ind w:left="0" w:right="-4450"/>
            </w:pPr>
            <w:r>
              <w:t>:</w:t>
            </w:r>
            <w:r>
              <w:rPr>
                <w:spacing w:val="1"/>
              </w:rPr>
              <w:t xml:space="preserve"> </w:t>
            </w:r>
            <w:r>
              <w:rPr>
                <w:u w:val="single"/>
              </w:rPr>
              <w:t xml:space="preserve"> </w:t>
            </w:r>
            <w:r>
              <w:rPr>
                <w:u w:val="single"/>
              </w:rPr>
              <w:tab/>
            </w:r>
          </w:p>
        </w:tc>
      </w:tr>
    </w:tbl>
    <w:p w:rsidR="00421709" w:rsidRPr="009303D8" w:rsidRDefault="00421709">
      <w:pPr>
        <w:pStyle w:val="BodyText"/>
        <w:spacing w:before="11"/>
        <w:rPr>
          <w:b/>
        </w:rPr>
      </w:pPr>
    </w:p>
    <w:p w:rsidR="00421709" w:rsidRDefault="00B61A91">
      <w:pPr>
        <w:ind w:left="200"/>
        <w:jc w:val="both"/>
        <w:rPr>
          <w:b/>
        </w:rPr>
      </w:pPr>
      <w:r>
        <w:rPr>
          <w:rFonts w:ascii="Webdings" w:hAnsi="Webdings"/>
          <w:b/>
          <w:sz w:val="32"/>
        </w:rPr>
        <w:t></w:t>
      </w:r>
      <w:r>
        <w:rPr>
          <w:rFonts w:ascii="Times New Roman" w:hAnsi="Times New Roman"/>
          <w:b/>
          <w:sz w:val="32"/>
        </w:rPr>
        <w:t xml:space="preserve"> </w:t>
      </w:r>
      <w:r>
        <w:rPr>
          <w:b/>
          <w:u w:val="single"/>
        </w:rPr>
        <w:t>Option 2 – Hard copy</w:t>
      </w:r>
    </w:p>
    <w:p w:rsidR="00421709" w:rsidRDefault="00421709">
      <w:pPr>
        <w:pStyle w:val="BodyText"/>
        <w:spacing w:before="9"/>
        <w:rPr>
          <w:b/>
          <w:sz w:val="6"/>
        </w:rPr>
      </w:pPr>
    </w:p>
    <w:tbl>
      <w:tblPr>
        <w:tblW w:w="0" w:type="auto"/>
        <w:tblInd w:w="123" w:type="dxa"/>
        <w:tblLayout w:type="fixed"/>
        <w:tblCellMar>
          <w:left w:w="0" w:type="dxa"/>
          <w:right w:w="0" w:type="dxa"/>
        </w:tblCellMar>
        <w:tblLook w:val="01E0" w:firstRow="1" w:lastRow="1" w:firstColumn="1" w:lastColumn="1" w:noHBand="0" w:noVBand="0"/>
      </w:tblPr>
      <w:tblGrid>
        <w:gridCol w:w="4775"/>
        <w:gridCol w:w="4600"/>
      </w:tblGrid>
      <w:tr w:rsidR="00421709" w:rsidTr="009303D8">
        <w:trPr>
          <w:trHeight w:val="286"/>
        </w:trPr>
        <w:tc>
          <w:tcPr>
            <w:tcW w:w="4775" w:type="dxa"/>
          </w:tcPr>
          <w:p w:rsidR="00421709" w:rsidRDefault="00B61A91">
            <w:pPr>
              <w:pStyle w:val="TableParagraph"/>
              <w:spacing w:line="225" w:lineRule="exact"/>
            </w:pPr>
            <w:r>
              <w:t>Name of the Members/ Shareholders</w:t>
            </w:r>
          </w:p>
        </w:tc>
        <w:tc>
          <w:tcPr>
            <w:tcW w:w="4600" w:type="dxa"/>
          </w:tcPr>
          <w:p w:rsidR="00421709" w:rsidRDefault="00B61A91" w:rsidP="009303D8">
            <w:pPr>
              <w:pStyle w:val="TableParagraph"/>
              <w:tabs>
                <w:tab w:val="left" w:pos="4584"/>
              </w:tabs>
              <w:spacing w:line="225" w:lineRule="exact"/>
              <w:ind w:left="0" w:right="-2117"/>
            </w:pPr>
            <w:r>
              <w:t>:</w:t>
            </w:r>
            <w:r>
              <w:rPr>
                <w:spacing w:val="1"/>
              </w:rPr>
              <w:t xml:space="preserve"> </w:t>
            </w:r>
            <w:r>
              <w:rPr>
                <w:u w:val="single"/>
              </w:rPr>
              <w:t xml:space="preserve"> </w:t>
            </w:r>
            <w:r>
              <w:rPr>
                <w:u w:val="single"/>
              </w:rPr>
              <w:tab/>
            </w:r>
          </w:p>
        </w:tc>
      </w:tr>
      <w:tr w:rsidR="00421709" w:rsidTr="009303D8">
        <w:trPr>
          <w:trHeight w:val="355"/>
        </w:trPr>
        <w:tc>
          <w:tcPr>
            <w:tcW w:w="4775" w:type="dxa"/>
          </w:tcPr>
          <w:p w:rsidR="00421709" w:rsidRDefault="00B61A91">
            <w:pPr>
              <w:pStyle w:val="TableParagraph"/>
              <w:spacing w:before="22"/>
            </w:pPr>
            <w:r>
              <w:t>CNIC / SNIC #</w:t>
            </w:r>
          </w:p>
        </w:tc>
        <w:tc>
          <w:tcPr>
            <w:tcW w:w="4600" w:type="dxa"/>
          </w:tcPr>
          <w:p w:rsidR="00421709" w:rsidRDefault="00B61A91" w:rsidP="009303D8">
            <w:pPr>
              <w:pStyle w:val="TableParagraph"/>
              <w:tabs>
                <w:tab w:val="left" w:pos="4584"/>
              </w:tabs>
              <w:spacing w:before="22"/>
              <w:ind w:left="0" w:right="-2117"/>
            </w:pPr>
            <w:r>
              <w:t>:</w:t>
            </w:r>
            <w:r>
              <w:rPr>
                <w:spacing w:val="1"/>
              </w:rPr>
              <w:t xml:space="preserve"> </w:t>
            </w:r>
            <w:r>
              <w:rPr>
                <w:u w:val="single"/>
              </w:rPr>
              <w:t xml:space="preserve"> </w:t>
            </w:r>
            <w:r>
              <w:rPr>
                <w:u w:val="single"/>
              </w:rPr>
              <w:tab/>
            </w:r>
          </w:p>
        </w:tc>
      </w:tr>
      <w:tr w:rsidR="00421709" w:rsidTr="009303D8">
        <w:trPr>
          <w:trHeight w:val="349"/>
        </w:trPr>
        <w:tc>
          <w:tcPr>
            <w:tcW w:w="4775" w:type="dxa"/>
          </w:tcPr>
          <w:p w:rsidR="00421709" w:rsidRDefault="00B61A91">
            <w:pPr>
              <w:pStyle w:val="TableParagraph"/>
              <w:spacing w:before="24"/>
            </w:pPr>
            <w:r>
              <w:t>Folio / CDC Account Number</w:t>
            </w:r>
          </w:p>
        </w:tc>
        <w:tc>
          <w:tcPr>
            <w:tcW w:w="4600" w:type="dxa"/>
          </w:tcPr>
          <w:p w:rsidR="00421709" w:rsidRDefault="00B61A91" w:rsidP="009303D8">
            <w:pPr>
              <w:pStyle w:val="TableParagraph"/>
              <w:tabs>
                <w:tab w:val="left" w:pos="4584"/>
              </w:tabs>
              <w:spacing w:before="24"/>
              <w:ind w:left="0" w:right="-2117"/>
            </w:pPr>
            <w:r>
              <w:t>:</w:t>
            </w:r>
            <w:r>
              <w:rPr>
                <w:spacing w:val="1"/>
              </w:rPr>
              <w:t xml:space="preserve"> </w:t>
            </w:r>
            <w:r>
              <w:rPr>
                <w:u w:val="single"/>
              </w:rPr>
              <w:t xml:space="preserve"> </w:t>
            </w:r>
            <w:r>
              <w:rPr>
                <w:u w:val="single"/>
              </w:rPr>
              <w:tab/>
            </w:r>
          </w:p>
        </w:tc>
      </w:tr>
      <w:tr w:rsidR="00421709" w:rsidTr="009303D8">
        <w:trPr>
          <w:trHeight w:val="1020"/>
        </w:trPr>
        <w:tc>
          <w:tcPr>
            <w:tcW w:w="4775" w:type="dxa"/>
          </w:tcPr>
          <w:p w:rsidR="00421709" w:rsidRDefault="00B61A91">
            <w:pPr>
              <w:pStyle w:val="TableParagraph"/>
              <w:spacing w:before="16"/>
              <w:jc w:val="both"/>
              <w:rPr>
                <w:b/>
              </w:rPr>
            </w:pPr>
            <w:r>
              <w:rPr>
                <w:b/>
              </w:rPr>
              <w:t>Mailing Address</w:t>
            </w:r>
          </w:p>
          <w:p w:rsidR="00421709" w:rsidRDefault="00B61A91">
            <w:pPr>
              <w:pStyle w:val="TableParagraph"/>
              <w:spacing w:before="5" w:line="240" w:lineRule="atLeast"/>
              <w:ind w:right="104"/>
              <w:jc w:val="both"/>
              <w:rPr>
                <w:i/>
                <w:sz w:val="20"/>
              </w:rPr>
            </w:pPr>
            <w:r>
              <w:rPr>
                <w:i/>
                <w:sz w:val="20"/>
              </w:rPr>
              <w:t>(on which I wish receive Financial Statements along with Notice of General Meeting(s) instead of Email/CD/DVD/USB and any other Electronic Media.)</w:t>
            </w:r>
          </w:p>
        </w:tc>
        <w:tc>
          <w:tcPr>
            <w:tcW w:w="4600" w:type="dxa"/>
          </w:tcPr>
          <w:p w:rsidR="00421709" w:rsidRDefault="00B61A91" w:rsidP="009303D8">
            <w:pPr>
              <w:pStyle w:val="TableParagraph"/>
              <w:tabs>
                <w:tab w:val="left" w:pos="4692"/>
              </w:tabs>
              <w:spacing w:before="16"/>
              <w:ind w:left="0" w:right="-2117"/>
            </w:pPr>
            <w:r>
              <w:t>:</w:t>
            </w:r>
            <w:r>
              <w:rPr>
                <w:spacing w:val="1"/>
              </w:rPr>
              <w:t xml:space="preserve"> </w:t>
            </w:r>
            <w:r>
              <w:rPr>
                <w:u w:val="single"/>
              </w:rPr>
              <w:t xml:space="preserve"> </w:t>
            </w:r>
            <w:r>
              <w:rPr>
                <w:u w:val="single"/>
              </w:rPr>
              <w:tab/>
            </w:r>
          </w:p>
          <w:p w:rsidR="00421709" w:rsidRDefault="00421709">
            <w:pPr>
              <w:pStyle w:val="TableParagraph"/>
              <w:ind w:left="0"/>
              <w:rPr>
                <w:b/>
              </w:rPr>
            </w:pPr>
          </w:p>
          <w:p w:rsidR="00421709" w:rsidRDefault="00421709">
            <w:pPr>
              <w:pStyle w:val="TableParagraph"/>
              <w:spacing w:before="6"/>
              <w:ind w:left="0"/>
              <w:rPr>
                <w:b/>
                <w:sz w:val="18"/>
              </w:rPr>
            </w:pPr>
          </w:p>
          <w:p w:rsidR="00421709" w:rsidRDefault="00B61A91">
            <w:pPr>
              <w:pStyle w:val="TableParagraph"/>
              <w:tabs>
                <w:tab w:val="left" w:pos="4668"/>
              </w:tabs>
              <w:spacing w:before="1" w:line="220" w:lineRule="exact"/>
              <w:ind w:left="206" w:right="-2088"/>
              <w:rPr>
                <w:i/>
                <w:sz w:val="20"/>
              </w:rPr>
            </w:pPr>
            <w:r>
              <w:rPr>
                <w:i/>
                <w:w w:val="99"/>
                <w:sz w:val="20"/>
                <w:u w:val="single"/>
              </w:rPr>
              <w:t xml:space="preserve"> </w:t>
            </w:r>
            <w:r>
              <w:rPr>
                <w:i/>
                <w:sz w:val="20"/>
                <w:u w:val="single"/>
              </w:rPr>
              <w:tab/>
            </w:r>
          </w:p>
        </w:tc>
      </w:tr>
    </w:tbl>
    <w:p w:rsidR="00421709" w:rsidRDefault="00B61A91">
      <w:pPr>
        <w:pStyle w:val="BodyText"/>
        <w:spacing w:before="204" w:line="259" w:lineRule="auto"/>
        <w:ind w:left="200" w:right="104"/>
        <w:jc w:val="both"/>
      </w:pPr>
      <w:r>
        <w:pict>
          <v:line id="_x0000_s1027" style="position:absolute;left:0;text-align:left;z-index:-251771904;mso-position-horizontal-relative:page;mso-position-vertical-relative:text" from="317.15pt,-17.95pt" to="536.2pt,-17.95pt" strokeweight=".25292mm">
            <w10:wrap anchorx="page"/>
          </v:line>
        </w:pict>
      </w:r>
      <w:r>
        <w:t>I/We</w:t>
      </w:r>
      <w:r>
        <w:rPr>
          <w:spacing w:val="-9"/>
        </w:rPr>
        <w:t xml:space="preserve"> </w:t>
      </w:r>
      <w:r>
        <w:t>hereby</w:t>
      </w:r>
      <w:r>
        <w:rPr>
          <w:spacing w:val="-9"/>
        </w:rPr>
        <w:t xml:space="preserve"> </w:t>
      </w:r>
      <w:r>
        <w:t>confirm</w:t>
      </w:r>
      <w:r>
        <w:rPr>
          <w:spacing w:val="-9"/>
        </w:rPr>
        <w:t xml:space="preserve"> </w:t>
      </w:r>
      <w:r>
        <w:t>that</w:t>
      </w:r>
      <w:r>
        <w:rPr>
          <w:spacing w:val="-10"/>
        </w:rPr>
        <w:t xml:space="preserve"> </w:t>
      </w:r>
      <w:r>
        <w:t>the</w:t>
      </w:r>
      <w:r>
        <w:rPr>
          <w:spacing w:val="-6"/>
        </w:rPr>
        <w:t xml:space="preserve"> </w:t>
      </w:r>
      <w:r>
        <w:t>above</w:t>
      </w:r>
      <w:r>
        <w:rPr>
          <w:spacing w:val="-10"/>
        </w:rPr>
        <w:t xml:space="preserve"> </w:t>
      </w:r>
      <w:r>
        <w:t>–</w:t>
      </w:r>
      <w:r>
        <w:rPr>
          <w:spacing w:val="-9"/>
        </w:rPr>
        <w:t xml:space="preserve"> </w:t>
      </w:r>
      <w:r>
        <w:t>mentioned</w:t>
      </w:r>
      <w:r>
        <w:rPr>
          <w:spacing w:val="-10"/>
        </w:rPr>
        <w:t xml:space="preserve"> </w:t>
      </w:r>
      <w:r>
        <w:t>information</w:t>
      </w:r>
      <w:r>
        <w:rPr>
          <w:spacing w:val="-8"/>
        </w:rPr>
        <w:t xml:space="preserve"> </w:t>
      </w:r>
      <w:r>
        <w:t>is</w:t>
      </w:r>
      <w:r>
        <w:rPr>
          <w:spacing w:val="-12"/>
        </w:rPr>
        <w:t xml:space="preserve"> </w:t>
      </w:r>
      <w:r>
        <w:t>correct</w:t>
      </w:r>
      <w:r>
        <w:rPr>
          <w:spacing w:val="-9"/>
        </w:rPr>
        <w:t xml:space="preserve"> </w:t>
      </w:r>
      <w:r>
        <w:t>and</w:t>
      </w:r>
      <w:r>
        <w:rPr>
          <w:spacing w:val="-10"/>
        </w:rPr>
        <w:t xml:space="preserve"> </w:t>
      </w:r>
      <w:r>
        <w:t>in</w:t>
      </w:r>
      <w:r>
        <w:rPr>
          <w:spacing w:val="-8"/>
        </w:rPr>
        <w:t xml:space="preserve"> </w:t>
      </w:r>
      <w:r>
        <w:t>case</w:t>
      </w:r>
      <w:r>
        <w:rPr>
          <w:spacing w:val="-10"/>
        </w:rPr>
        <w:t xml:space="preserve"> </w:t>
      </w:r>
      <w:r>
        <w:t>of</w:t>
      </w:r>
      <w:r>
        <w:rPr>
          <w:spacing w:val="-10"/>
        </w:rPr>
        <w:t xml:space="preserve"> </w:t>
      </w:r>
      <w:r>
        <w:t>any</w:t>
      </w:r>
      <w:r>
        <w:rPr>
          <w:spacing w:val="-8"/>
        </w:rPr>
        <w:t xml:space="preserve"> </w:t>
      </w:r>
      <w:r>
        <w:t>change</w:t>
      </w:r>
      <w:r>
        <w:rPr>
          <w:spacing w:val="-10"/>
        </w:rPr>
        <w:t xml:space="preserve"> </w:t>
      </w:r>
      <w:r>
        <w:t xml:space="preserve">therein, </w:t>
      </w:r>
      <w:proofErr w:type="spellStart"/>
      <w:r>
        <w:t>i</w:t>
      </w:r>
      <w:proofErr w:type="spellEnd"/>
      <w:r>
        <w:t>/we will immediately intimate to the Company’s Share Registrar. I/we further confirm that the transmission of Company’s Annual Audited Financial Statements and Notice of General Meeting(s) through my/our above address would be taken as compliance</w:t>
      </w:r>
      <w:r>
        <w:t xml:space="preserve"> with the Companies Act,</w:t>
      </w:r>
      <w:r>
        <w:rPr>
          <w:spacing w:val="-29"/>
        </w:rPr>
        <w:t xml:space="preserve"> </w:t>
      </w:r>
      <w:r>
        <w:t>2017.</w:t>
      </w:r>
    </w:p>
    <w:p w:rsidR="00421709" w:rsidRDefault="00421709">
      <w:pPr>
        <w:pStyle w:val="BodyText"/>
        <w:rPr>
          <w:sz w:val="20"/>
        </w:rPr>
      </w:pPr>
    </w:p>
    <w:p w:rsidR="00421709" w:rsidRDefault="00421709">
      <w:pPr>
        <w:pStyle w:val="BodyText"/>
        <w:rPr>
          <w:sz w:val="20"/>
        </w:rPr>
      </w:pPr>
    </w:p>
    <w:p w:rsidR="00421709" w:rsidRDefault="00421709">
      <w:pPr>
        <w:pStyle w:val="BodyText"/>
        <w:rPr>
          <w:sz w:val="20"/>
        </w:rPr>
      </w:pPr>
    </w:p>
    <w:p w:rsidR="00421709" w:rsidRDefault="00B61A91">
      <w:pPr>
        <w:pStyle w:val="BodyText"/>
        <w:spacing w:before="12"/>
        <w:rPr>
          <w:sz w:val="10"/>
        </w:rPr>
      </w:pPr>
      <w:r>
        <w:pict>
          <v:line id="_x0000_s1026" style="position:absolute;z-index:-251658240;mso-wrap-distance-left:0;mso-wrap-distance-right:0;mso-position-horizontal-relative:page" from="1in,9.15pt" to="171.65pt,9.15pt" strokeweight=".96pt">
            <w10:wrap type="topAndBottom" anchorx="page"/>
          </v:line>
        </w:pict>
      </w:r>
    </w:p>
    <w:p w:rsidR="00421709" w:rsidRDefault="00B61A91">
      <w:pPr>
        <w:pStyle w:val="BodyText"/>
        <w:ind w:left="200"/>
        <w:jc w:val="both"/>
      </w:pPr>
      <w:r>
        <w:t>Shareholder Signature</w:t>
      </w:r>
    </w:p>
    <w:sectPr w:rsidR="00421709">
      <w:type w:val="continuous"/>
      <w:pgSz w:w="12240" w:h="15840"/>
      <w:pgMar w:top="66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21709"/>
    <w:rsid w:val="00346BEC"/>
    <w:rsid w:val="00421709"/>
    <w:rsid w:val="009303D8"/>
    <w:rsid w:val="00B6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1CB415"/>
  <w15:docId w15:val="{57546EC2-7F14-4D55-AA9E-A4B41E87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Furqan Afridi</dc:creator>
  <cp:lastModifiedBy>Saad Lakhani (Company Secretary &amp; AM Taxation)</cp:lastModifiedBy>
  <cp:revision>4</cp:revision>
  <dcterms:created xsi:type="dcterms:W3CDTF">2019-10-07T04:28:00Z</dcterms:created>
  <dcterms:modified xsi:type="dcterms:W3CDTF">2019-10-07T04:34:00Z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2019-10-07T00:00:00Z</vt:filetime>
  </property>
</Properties>
</file>